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89" w:rsidRDefault="00505989" w:rsidP="00505989">
      <w:pPr>
        <w:pStyle w:val="a3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5989" w:rsidRDefault="00505989" w:rsidP="00505989">
      <w:pPr>
        <w:pStyle w:val="a5"/>
        <w:rPr>
          <w:sz w:val="26"/>
        </w:rPr>
      </w:pPr>
    </w:p>
    <w:p w:rsidR="00505989" w:rsidRDefault="00505989" w:rsidP="00505989">
      <w:pPr>
        <w:jc w:val="both"/>
        <w:rPr>
          <w:sz w:val="26"/>
        </w:rPr>
      </w:pPr>
    </w:p>
    <w:p w:rsidR="00505989" w:rsidRDefault="00505989" w:rsidP="00505989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05989" w:rsidRDefault="00505989" w:rsidP="00505989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05989" w:rsidRDefault="00505989" w:rsidP="00505989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05989" w:rsidRDefault="00505989" w:rsidP="00505989">
      <w:pPr>
        <w:jc w:val="center"/>
      </w:pPr>
    </w:p>
    <w:p w:rsidR="00505989" w:rsidRDefault="00505989" w:rsidP="00505989">
      <w:pPr>
        <w:jc w:val="center"/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505989" w:rsidRDefault="00505989" w:rsidP="00505989">
      <w:pPr>
        <w:jc w:val="center"/>
      </w:pPr>
    </w:p>
    <w:p w:rsidR="00505989" w:rsidRDefault="00505989" w:rsidP="00505989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от «</w:t>
      </w:r>
      <w:r w:rsidR="00C20813">
        <w:rPr>
          <w:bCs/>
          <w:sz w:val="26"/>
          <w:szCs w:val="26"/>
        </w:rPr>
        <w:t>2</w:t>
      </w:r>
      <w:r w:rsidR="00855D36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»  </w:t>
      </w:r>
      <w:r w:rsidR="00B95507" w:rsidRPr="00B95507">
        <w:rPr>
          <w:bCs/>
          <w:sz w:val="26"/>
          <w:szCs w:val="26"/>
        </w:rPr>
        <w:t xml:space="preserve">апреля </w:t>
      </w:r>
      <w:r w:rsidRPr="00B95507">
        <w:rPr>
          <w:bCs/>
          <w:sz w:val="26"/>
          <w:szCs w:val="26"/>
        </w:rPr>
        <w:t xml:space="preserve"> 2020г.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№ </w:t>
      </w:r>
      <w:r w:rsidR="00F17871" w:rsidRPr="00F17871">
        <w:rPr>
          <w:bCs/>
          <w:sz w:val="26"/>
          <w:szCs w:val="26"/>
          <w:u w:val="single"/>
        </w:rPr>
        <w:t>84/622</w:t>
      </w:r>
    </w:p>
    <w:p w:rsidR="00505989" w:rsidRDefault="00505989" w:rsidP="00505989">
      <w:pPr>
        <w:ind w:left="-135"/>
      </w:pPr>
    </w:p>
    <w:p w:rsidR="00505989" w:rsidRDefault="00505989" w:rsidP="00505989">
      <w:pPr>
        <w:ind w:left="-135"/>
        <w:jc w:val="both"/>
        <w:rPr>
          <w:sz w:val="26"/>
        </w:rPr>
      </w:pPr>
      <w:bookmarkStart w:id="0" w:name="_GoBack"/>
      <w:bookmarkEnd w:id="0"/>
    </w:p>
    <w:p w:rsidR="00505989" w:rsidRDefault="00505989" w:rsidP="00505989">
      <w:pPr>
        <w:ind w:left="-135"/>
        <w:jc w:val="both"/>
        <w:rPr>
          <w:sz w:val="26"/>
        </w:rPr>
      </w:pPr>
      <w:r>
        <w:rPr>
          <w:sz w:val="26"/>
        </w:rPr>
        <w:t xml:space="preserve">Об исполнении </w:t>
      </w:r>
      <w:proofErr w:type="gramStart"/>
      <w:r>
        <w:rPr>
          <w:sz w:val="26"/>
        </w:rPr>
        <w:t>муниципальных</w:t>
      </w:r>
      <w:proofErr w:type="gramEnd"/>
    </w:p>
    <w:p w:rsidR="00505989" w:rsidRDefault="00505989" w:rsidP="00505989">
      <w:pPr>
        <w:ind w:left="-135"/>
        <w:jc w:val="both"/>
        <w:rPr>
          <w:sz w:val="26"/>
        </w:rPr>
      </w:pPr>
      <w:r>
        <w:rPr>
          <w:sz w:val="26"/>
        </w:rPr>
        <w:t xml:space="preserve"> и ведомственных целевых программ </w:t>
      </w:r>
    </w:p>
    <w:p w:rsidR="00505989" w:rsidRDefault="00505989" w:rsidP="00505989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</w:t>
      </w:r>
    </w:p>
    <w:p w:rsidR="00505989" w:rsidRDefault="00505989" w:rsidP="00505989">
      <w:pPr>
        <w:ind w:left="-135"/>
        <w:jc w:val="both"/>
        <w:rPr>
          <w:sz w:val="26"/>
        </w:rPr>
      </w:pPr>
      <w:r>
        <w:rPr>
          <w:sz w:val="26"/>
        </w:rPr>
        <w:t xml:space="preserve"> района за 2019 год</w:t>
      </w:r>
    </w:p>
    <w:p w:rsidR="00505989" w:rsidRDefault="00505989" w:rsidP="00505989">
      <w:pPr>
        <w:jc w:val="both"/>
        <w:rPr>
          <w:sz w:val="26"/>
        </w:rPr>
      </w:pPr>
    </w:p>
    <w:p w:rsidR="00505989" w:rsidRDefault="00505989" w:rsidP="00505989">
      <w:pPr>
        <w:pStyle w:val="a7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Заслушав информацию начальника финансового отдела администрации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Лысенко Н.В. об исполнении муниципальных и ведомственных целевых программ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за 2019 год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05989" w:rsidRDefault="00505989" w:rsidP="00505989">
      <w:pPr>
        <w:pStyle w:val="a7"/>
        <w:ind w:right="425" w:firstLine="0"/>
        <w:jc w:val="both"/>
      </w:pPr>
    </w:p>
    <w:p w:rsidR="00505989" w:rsidRDefault="00505989" w:rsidP="00505989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Е Ш И Л А :</w:t>
      </w:r>
    </w:p>
    <w:p w:rsidR="00505989" w:rsidRDefault="00505989" w:rsidP="00505989">
      <w:pPr>
        <w:ind w:right="425"/>
        <w:jc w:val="both"/>
        <w:rPr>
          <w:b/>
          <w:sz w:val="26"/>
        </w:rPr>
      </w:pPr>
    </w:p>
    <w:p w:rsidR="00505989" w:rsidRDefault="00505989" w:rsidP="00505989">
      <w:pPr>
        <w:pStyle w:val="12"/>
        <w:ind w:left="0" w:right="-30" w:firstLine="750"/>
        <w:jc w:val="both"/>
        <w:rPr>
          <w:sz w:val="26"/>
        </w:rPr>
      </w:pPr>
      <w:r>
        <w:rPr>
          <w:sz w:val="26"/>
        </w:rPr>
        <w:t xml:space="preserve">1. Информацию о работе администрации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об исполнении муниципальных и ведомственных целевых программ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за 2019 год принять к сведению (информация прилагается).</w:t>
      </w:r>
    </w:p>
    <w:p w:rsidR="00505989" w:rsidRDefault="00505989" w:rsidP="005059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продолжить работу по реализации муниципальных и </w:t>
      </w:r>
      <w:r>
        <w:rPr>
          <w:sz w:val="26"/>
        </w:rPr>
        <w:t xml:space="preserve">ведомственных целевых программ, исполнению расходной части бюджета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по программно-целевому методу</w:t>
      </w:r>
      <w:r>
        <w:rPr>
          <w:sz w:val="26"/>
          <w:szCs w:val="26"/>
        </w:rPr>
        <w:t>.</w:t>
      </w:r>
    </w:p>
    <w:p w:rsidR="00505989" w:rsidRDefault="00505989" w:rsidP="00505989">
      <w:pPr>
        <w:spacing w:before="28" w:after="28"/>
        <w:ind w:left="-345" w:firstLine="1080"/>
        <w:contextualSpacing/>
        <w:jc w:val="both"/>
        <w:rPr>
          <w:sz w:val="26"/>
          <w:szCs w:val="26"/>
        </w:rPr>
      </w:pPr>
    </w:p>
    <w:p w:rsidR="00505989" w:rsidRDefault="00505989" w:rsidP="00505989">
      <w:pPr>
        <w:ind w:right="-390"/>
        <w:rPr>
          <w:sz w:val="26"/>
          <w:szCs w:val="26"/>
        </w:rPr>
      </w:pPr>
    </w:p>
    <w:p w:rsidR="00505989" w:rsidRDefault="00505989" w:rsidP="00505989">
      <w:pPr>
        <w:ind w:right="-390"/>
        <w:rPr>
          <w:sz w:val="26"/>
          <w:szCs w:val="26"/>
        </w:rPr>
      </w:pPr>
    </w:p>
    <w:p w:rsidR="00505989" w:rsidRDefault="00505989" w:rsidP="00505989">
      <w:pPr>
        <w:ind w:right="-390"/>
        <w:rPr>
          <w:sz w:val="26"/>
          <w:szCs w:val="26"/>
        </w:rPr>
      </w:pPr>
    </w:p>
    <w:p w:rsidR="00505989" w:rsidRDefault="00505989" w:rsidP="00505989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505989" w:rsidRDefault="00505989" w:rsidP="00505989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районной Думы                                                                                         М.Е. </w:t>
      </w:r>
      <w:proofErr w:type="spellStart"/>
      <w:r>
        <w:rPr>
          <w:sz w:val="26"/>
          <w:szCs w:val="26"/>
        </w:rPr>
        <w:t>Алеулова</w:t>
      </w:r>
      <w:proofErr w:type="spellEnd"/>
    </w:p>
    <w:p w:rsidR="00505989" w:rsidRDefault="00505989" w:rsidP="00505989">
      <w:pPr>
        <w:ind w:right="-390"/>
        <w:rPr>
          <w:sz w:val="32"/>
          <w:szCs w:val="32"/>
        </w:rPr>
      </w:pPr>
    </w:p>
    <w:p w:rsidR="00505989" w:rsidRDefault="00505989" w:rsidP="00505989">
      <w:pPr>
        <w:ind w:right="-390"/>
        <w:rPr>
          <w:sz w:val="26"/>
          <w:szCs w:val="26"/>
        </w:rPr>
      </w:pPr>
    </w:p>
    <w:p w:rsidR="00505989" w:rsidRDefault="00505989" w:rsidP="00505989">
      <w:pPr>
        <w:pStyle w:val="1"/>
        <w:jc w:val="center"/>
        <w:rPr>
          <w:bCs/>
          <w:sz w:val="32"/>
          <w:szCs w:val="32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C20813" w:rsidRPr="00C20813" w:rsidRDefault="00C20813" w:rsidP="00C20813">
      <w:pPr>
        <w:pStyle w:val="af"/>
        <w:numPr>
          <w:ilvl w:val="0"/>
          <w:numId w:val="1"/>
        </w:numPr>
        <w:tabs>
          <w:tab w:val="left" w:pos="9923"/>
          <w:tab w:val="left" w:pos="10348"/>
        </w:tabs>
        <w:ind w:right="-1"/>
        <w:jc w:val="both"/>
        <w:rPr>
          <w:lang w:bidi="ar-SA"/>
        </w:rPr>
      </w:pPr>
      <w:r>
        <w:rPr>
          <w:rFonts w:cs="Times New Roman"/>
          <w:b/>
          <w:bCs/>
          <w:sz w:val="26"/>
          <w:szCs w:val="26"/>
        </w:rPr>
        <w:t xml:space="preserve">             </w:t>
      </w:r>
    </w:p>
    <w:p w:rsidR="00C20813" w:rsidRDefault="00C20813" w:rsidP="00C20813">
      <w:pPr>
        <w:pStyle w:val="af"/>
        <w:numPr>
          <w:ilvl w:val="0"/>
          <w:numId w:val="1"/>
        </w:numPr>
        <w:tabs>
          <w:tab w:val="left" w:pos="9923"/>
          <w:tab w:val="left" w:pos="10348"/>
        </w:tabs>
        <w:ind w:right="-1"/>
        <w:jc w:val="both"/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pStyle w:val="ac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Информация</w:t>
      </w:r>
    </w:p>
    <w:p w:rsidR="00505989" w:rsidRDefault="00505989" w:rsidP="00505989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муниципальных и ведомственных целевых  программ </w:t>
      </w:r>
      <w:proofErr w:type="spellStart"/>
      <w:r>
        <w:rPr>
          <w:b/>
          <w:sz w:val="26"/>
          <w:szCs w:val="26"/>
        </w:rPr>
        <w:t>Фроловского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505989" w:rsidRDefault="00505989" w:rsidP="00505989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 год</w:t>
      </w:r>
    </w:p>
    <w:p w:rsidR="00505989" w:rsidRDefault="00505989" w:rsidP="00505989">
      <w:pPr>
        <w:pStyle w:val="ac"/>
        <w:jc w:val="center"/>
        <w:rPr>
          <w:b/>
          <w:sz w:val="26"/>
          <w:szCs w:val="26"/>
        </w:rPr>
      </w:pPr>
    </w:p>
    <w:p w:rsidR="00505989" w:rsidRDefault="00505989" w:rsidP="00505989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исполнении муниципальных  и ведомственных целевых программ за 2019год подготовлена на основании данных ответственных исполнителей программ, а также  отдела по экономике,  управлению имуществом и землепользованию, финансового отдела администрации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района. </w:t>
      </w:r>
      <w:proofErr w:type="gramStart"/>
      <w:r>
        <w:rPr>
          <w:sz w:val="26"/>
          <w:szCs w:val="26"/>
        </w:rPr>
        <w:t xml:space="preserve">Муниципальные и ведомственные целевые  программы разработаны в соответствии с постановлениями администрации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от 13.09.2013 года № 783 «Об утверждении Положения о муниципальных программах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района», от 04.10.2013 № 851 «О порядке проведения и критериях оценки эффективности реализации муниципальных программ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района» и от 30.10.2013 № 937 «Об утверждении Положения о разработке, утверждении и реализации ведомственных целевых программ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</w:t>
      </w:r>
      <w:proofErr w:type="gramEnd"/>
      <w:r>
        <w:rPr>
          <w:sz w:val="26"/>
          <w:szCs w:val="26"/>
        </w:rPr>
        <w:t xml:space="preserve"> района». </w:t>
      </w:r>
    </w:p>
    <w:p w:rsidR="00505989" w:rsidRDefault="00505989" w:rsidP="00505989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2019 году на территории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реализовывалось 8 муниципальных  и 9 ведомственных целевых программ (далее - программы). Средства бюджета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 района выделялись на реализацию всех программ. На финансирование мероприятий программ за счет средств бюджета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 района в 2019году предусмотрено 210 950,7 тыс. рублей. Из них 193028,6 тыс. рублей было предусмотрено на программы, направленные на формирование социальной сферы и развития культуры и спорта. Фактическое финансирование составило 188218,0 тыс. рублей, или 97,5 % от </w:t>
      </w:r>
      <w:proofErr w:type="gramStart"/>
      <w:r>
        <w:rPr>
          <w:sz w:val="26"/>
          <w:szCs w:val="26"/>
        </w:rPr>
        <w:t>запланированного</w:t>
      </w:r>
      <w:proofErr w:type="gramEnd"/>
      <w:r>
        <w:rPr>
          <w:sz w:val="26"/>
          <w:szCs w:val="26"/>
        </w:rPr>
        <w:t xml:space="preserve">. Основные мероприятия, запланированные программами на 2019 год, реализованы в установленные сроки и в полном объеме. Объем финансовых средств бюджета, направленных на реализацию программ в 2019 году </w:t>
      </w:r>
      <w:proofErr w:type="gramStart"/>
      <w:r>
        <w:rPr>
          <w:sz w:val="26"/>
          <w:szCs w:val="26"/>
        </w:rPr>
        <w:t>представлены</w:t>
      </w:r>
      <w:proofErr w:type="gramEnd"/>
      <w:r>
        <w:rPr>
          <w:sz w:val="26"/>
          <w:szCs w:val="26"/>
        </w:rPr>
        <w:t xml:space="preserve"> в следующей таблице:</w:t>
      </w:r>
    </w:p>
    <w:p w:rsidR="00505989" w:rsidRDefault="00505989" w:rsidP="00505989">
      <w:pPr>
        <w:pStyle w:val="ac"/>
        <w:ind w:firstLine="708"/>
        <w:jc w:val="both"/>
        <w:rPr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276"/>
        <w:gridCol w:w="1275"/>
      </w:tblGrid>
      <w:tr w:rsidR="00505989" w:rsidTr="00505989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Наимнование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 исполнения</w:t>
            </w:r>
          </w:p>
        </w:tc>
      </w:tr>
      <w:tr w:rsidR="00505989" w:rsidTr="00505989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Муниципальные программы</w:t>
            </w:r>
          </w:p>
        </w:tc>
      </w:tr>
      <w:tr w:rsidR="00505989" w:rsidTr="00505989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505989" w:rsidTr="00505989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"Охрана окружающей среды и рациональное природопользование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99,8</w:t>
            </w:r>
          </w:p>
        </w:tc>
      </w:tr>
      <w:tr w:rsidR="00505989" w:rsidTr="00505989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Волгоградской области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89,5</w:t>
            </w:r>
          </w:p>
        </w:tc>
      </w:tr>
      <w:tr w:rsidR="00505989" w:rsidTr="0050598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"Улучшение жилищных условий молодым семьям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2019 -2021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95,7</w:t>
            </w:r>
          </w:p>
        </w:tc>
      </w:tr>
      <w:tr w:rsidR="00505989" w:rsidTr="0050598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муниципальной службы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Фроловском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муниципальном районе Волгоградской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505989" w:rsidTr="0050598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"Патриотическое воспитание граждан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2018-2020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99,6</w:t>
            </w:r>
          </w:p>
        </w:tc>
      </w:tr>
      <w:tr w:rsidR="00505989" w:rsidTr="00505989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Муниципальная программа "Развитие культуры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505989" w:rsidTr="0050598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Фроловском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муниципальном районе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185 447,7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180 991,0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97,6</w:t>
            </w:r>
          </w:p>
        </w:tc>
      </w:tr>
      <w:tr w:rsidR="00505989" w:rsidTr="00505989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Подпрограмма "Обеспечение функционирования системы образования и прочие мероприятия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179 754,3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175 388,8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97,6</w:t>
            </w:r>
          </w:p>
        </w:tc>
      </w:tr>
      <w:tr w:rsidR="00505989" w:rsidTr="00505989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Подпрограмма «Развитие дошкольного, общего образования и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98,4</w:t>
            </w:r>
          </w:p>
        </w:tc>
      </w:tr>
      <w:tr w:rsidR="00505989" w:rsidTr="00505989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98,6</w:t>
            </w:r>
          </w:p>
        </w:tc>
      </w:tr>
      <w:tr w:rsidR="00505989" w:rsidTr="00505989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190 153,0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185 499,1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97,6</w:t>
            </w:r>
          </w:p>
        </w:tc>
      </w:tr>
      <w:tr w:rsidR="00505989" w:rsidTr="00505989">
        <w:trPr>
          <w:trHeight w:val="42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Ведомственные целевые программы</w:t>
            </w:r>
          </w:p>
        </w:tc>
      </w:tr>
      <w:tr w:rsidR="00505989" w:rsidTr="00505989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"Профилактика преступлений и правонарушений граждан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93,8</w:t>
            </w:r>
          </w:p>
        </w:tc>
      </w:tr>
      <w:tr w:rsidR="00505989" w:rsidTr="00505989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"Реализация молодежной политики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97,5</w:t>
            </w:r>
          </w:p>
        </w:tc>
      </w:tr>
      <w:tr w:rsidR="00505989" w:rsidTr="00505989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"По противодействию незаконному обороту наркотических средств и их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прекурсоров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профилактике этого оборота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80,0</w:t>
            </w:r>
          </w:p>
        </w:tc>
      </w:tr>
      <w:tr w:rsidR="00505989" w:rsidTr="00505989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"Развитие физической культуры и спорта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</w:tr>
      <w:tr w:rsidR="00505989" w:rsidTr="00505989">
        <w:trPr>
          <w:trHeight w:val="9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 Повышение качества бухгалтерского, бюджетного и налогового учета в МКУ "Централизованная бухгалтерия" администрации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95,0</w:t>
            </w:r>
          </w:p>
        </w:tc>
      </w:tr>
      <w:tr w:rsidR="00505989" w:rsidTr="00505989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"Реализация культурной политики на территории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99,8</w:t>
            </w:r>
          </w:p>
        </w:tc>
      </w:tr>
      <w:tr w:rsidR="00505989" w:rsidTr="0050598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"Развитие и поддержка малого и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предпринимательства во ФМР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17,1</w:t>
            </w:r>
          </w:p>
        </w:tc>
      </w:tr>
      <w:tr w:rsidR="00505989" w:rsidTr="00505989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Ведомственная целевая программа "Обеспечение эффективного функционирования МБУ "Техника"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94,6</w:t>
            </w:r>
          </w:p>
        </w:tc>
      </w:tr>
      <w:tr w:rsidR="00505989" w:rsidTr="00505989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Ведомственная целевая программа "Развитие культуры, молодежной политики, физической культуры и спорта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Фроловского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муниципального района на 2017-2019г.г."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92,9</w:t>
            </w:r>
          </w:p>
        </w:tc>
      </w:tr>
      <w:tr w:rsidR="00505989" w:rsidTr="0050598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 по ведомственным целевым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20 797,7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94,5</w:t>
            </w:r>
          </w:p>
        </w:tc>
      </w:tr>
      <w:tr w:rsidR="00505989" w:rsidTr="0050598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05989" w:rsidRDefault="005059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205 145,1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989" w:rsidRDefault="005059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97,2</w:t>
            </w:r>
          </w:p>
        </w:tc>
      </w:tr>
    </w:tbl>
    <w:p w:rsidR="00505989" w:rsidRDefault="00505989" w:rsidP="00505989">
      <w:pPr>
        <w:pStyle w:val="ac"/>
        <w:jc w:val="both"/>
        <w:rPr>
          <w:b/>
          <w:sz w:val="26"/>
          <w:szCs w:val="26"/>
        </w:rPr>
      </w:pPr>
    </w:p>
    <w:p w:rsidR="00505989" w:rsidRDefault="00505989" w:rsidP="00505989">
      <w:pPr>
        <w:pStyle w:val="ac"/>
        <w:jc w:val="both"/>
        <w:rPr>
          <w:b/>
          <w:sz w:val="26"/>
          <w:szCs w:val="26"/>
        </w:rPr>
      </w:pPr>
    </w:p>
    <w:p w:rsidR="00505989" w:rsidRDefault="00505989" w:rsidP="00505989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основных результатах реализации муниципальных и ведомственных целевых программ за 2019 год</w:t>
      </w:r>
    </w:p>
    <w:p w:rsidR="00505989" w:rsidRDefault="00505989" w:rsidP="00505989">
      <w:pPr>
        <w:pStyle w:val="ac"/>
        <w:jc w:val="both"/>
        <w:rPr>
          <w:b/>
          <w:sz w:val="26"/>
          <w:szCs w:val="26"/>
        </w:rPr>
      </w:pPr>
    </w:p>
    <w:p w:rsidR="00505989" w:rsidRDefault="00505989" w:rsidP="00505989">
      <w:pPr>
        <w:pStyle w:val="ac"/>
        <w:ind w:left="-426" w:firstLine="5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рамках муниципальной программы «Повышение безопасности дорожного движения на территории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на 2019-2021 годы» в общеобразовательных учреждениях проводились мероприятия по обучению учащихся правилам дорожного движения (приобретены методические пособия), также учащиеся МОУ «</w:t>
      </w:r>
      <w:proofErr w:type="spellStart"/>
      <w:r>
        <w:rPr>
          <w:sz w:val="26"/>
          <w:szCs w:val="26"/>
        </w:rPr>
        <w:t>Зеленовская</w:t>
      </w:r>
      <w:proofErr w:type="spellEnd"/>
      <w:r>
        <w:rPr>
          <w:sz w:val="26"/>
          <w:szCs w:val="26"/>
        </w:rPr>
        <w:t xml:space="preserve"> (филиал </w:t>
      </w:r>
      <w:proofErr w:type="spellStart"/>
      <w:r>
        <w:rPr>
          <w:sz w:val="26"/>
          <w:szCs w:val="26"/>
        </w:rPr>
        <w:t>Шуруповская</w:t>
      </w:r>
      <w:proofErr w:type="spellEnd"/>
      <w:r>
        <w:rPr>
          <w:sz w:val="26"/>
          <w:szCs w:val="26"/>
        </w:rPr>
        <w:t xml:space="preserve">  СШ) принимали участие в областном конкурсе агитбригад «Светофор».</w:t>
      </w:r>
    </w:p>
    <w:p w:rsidR="00505989" w:rsidRDefault="00505989" w:rsidP="00505989">
      <w:pPr>
        <w:pStyle w:val="ac"/>
        <w:ind w:left="-426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Основной  целью </w:t>
      </w:r>
      <w:r>
        <w:rPr>
          <w:sz w:val="26"/>
          <w:szCs w:val="26"/>
        </w:rPr>
        <w:t>исполнения 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«Патриотическое воспитание граждан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на 2018-2020 годы», </w:t>
      </w:r>
      <w:r>
        <w:rPr>
          <w:color w:val="000000"/>
          <w:sz w:val="26"/>
          <w:szCs w:val="26"/>
        </w:rPr>
        <w:t>является героико-патриотическое воспитание, формирование традиционного мировоззрения и комплексного подхода к воспитанию молодежи, направленного на всестороннее развитие личности. В рамках программы проводились следующие мероприятия: тематические мероприятия, посвященные 75-летию полного снятия блокады Ленинграда «Ленинград. Блокада. Память», посвященные 76годовщине разгрома советскими войсками немецко-</w:t>
      </w:r>
      <w:proofErr w:type="spellStart"/>
      <w:r>
        <w:rPr>
          <w:color w:val="000000"/>
          <w:sz w:val="26"/>
          <w:szCs w:val="26"/>
        </w:rPr>
        <w:t>фашистких</w:t>
      </w:r>
      <w:proofErr w:type="spellEnd"/>
      <w:r>
        <w:rPr>
          <w:color w:val="000000"/>
          <w:sz w:val="26"/>
          <w:szCs w:val="26"/>
        </w:rPr>
        <w:t xml:space="preserve"> войск в Сталинградской битве «Наша гордость, наша слава», </w:t>
      </w:r>
      <w:proofErr w:type="gramStart"/>
      <w:r>
        <w:rPr>
          <w:color w:val="000000"/>
          <w:sz w:val="26"/>
          <w:szCs w:val="26"/>
        </w:rPr>
        <w:t>посвященное</w:t>
      </w:r>
      <w:proofErr w:type="gramEnd"/>
      <w:r>
        <w:rPr>
          <w:color w:val="000000"/>
          <w:sz w:val="26"/>
          <w:szCs w:val="26"/>
        </w:rPr>
        <w:t xml:space="preserve"> Дню памяти воинов </w:t>
      </w:r>
      <w:proofErr w:type="spellStart"/>
      <w:r>
        <w:rPr>
          <w:color w:val="000000"/>
          <w:sz w:val="26"/>
          <w:szCs w:val="26"/>
        </w:rPr>
        <w:t>интернациалистов</w:t>
      </w:r>
      <w:proofErr w:type="spellEnd"/>
      <w:r>
        <w:rPr>
          <w:color w:val="000000"/>
          <w:sz w:val="26"/>
          <w:szCs w:val="26"/>
        </w:rPr>
        <w:t xml:space="preserve"> в России «Горячие слезы Афганистана». В рамках празднования Победы в Великой Отечественной войне 1941-1945 годов бытии организованы и проведены ряд мероприятий: митинги, уроки мужества, выставки, автопробег и другие тематические мероприятия. С целью создания условий для обогащения знаний  о родном крае, развития познавательных, творческих способностей был проведен районный конкурс «Маршрутами родного края». </w:t>
      </w:r>
      <w:r>
        <w:rPr>
          <w:sz w:val="26"/>
          <w:szCs w:val="26"/>
        </w:rPr>
        <w:t>Общая сумма расходов составила 129,5 тыс. рублей.(99,6%)</w:t>
      </w:r>
    </w:p>
    <w:p w:rsidR="00505989" w:rsidRDefault="00505989" w:rsidP="00505989">
      <w:pPr>
        <w:pStyle w:val="ac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направления исполнения муниципальной программы «Охрана окружающей среды и рациональное природопользование на территории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на 2017-2020 годы»: Организация размещения твердых бытовых отходов; реализация комплексных мероприятий по расчистке русла реки </w:t>
      </w:r>
      <w:proofErr w:type="spellStart"/>
      <w:r>
        <w:rPr>
          <w:sz w:val="26"/>
          <w:szCs w:val="26"/>
        </w:rPr>
        <w:t>Арчеда</w:t>
      </w:r>
      <w:proofErr w:type="spellEnd"/>
      <w:r>
        <w:rPr>
          <w:sz w:val="26"/>
          <w:szCs w:val="26"/>
        </w:rPr>
        <w:t xml:space="preserve">; экологическое образование и просвещение. </w:t>
      </w:r>
      <w:proofErr w:type="gramStart"/>
      <w:r>
        <w:rPr>
          <w:sz w:val="26"/>
          <w:szCs w:val="26"/>
        </w:rPr>
        <w:t xml:space="preserve">Выделено 560 тыс. рублей и освоено 559 тыс. рублей из них на зачистку русла р. </w:t>
      </w:r>
      <w:proofErr w:type="spellStart"/>
      <w:r>
        <w:rPr>
          <w:sz w:val="26"/>
          <w:szCs w:val="26"/>
        </w:rPr>
        <w:t>Арчеда</w:t>
      </w:r>
      <w:proofErr w:type="spellEnd"/>
      <w:r>
        <w:rPr>
          <w:sz w:val="26"/>
          <w:szCs w:val="26"/>
        </w:rPr>
        <w:t xml:space="preserve"> </w:t>
      </w:r>
      <w:r w:rsidRPr="00505989">
        <w:rPr>
          <w:sz w:val="26"/>
          <w:szCs w:val="26"/>
        </w:rPr>
        <w:t>199</w:t>
      </w:r>
      <w:r>
        <w:rPr>
          <w:sz w:val="26"/>
          <w:szCs w:val="26"/>
        </w:rPr>
        <w:t xml:space="preserve"> тыс. рублей, за работы по обустройству центральной районной </w:t>
      </w:r>
      <w:proofErr w:type="spellStart"/>
      <w:r>
        <w:rPr>
          <w:sz w:val="26"/>
          <w:szCs w:val="26"/>
        </w:rPr>
        <w:t>плащадки</w:t>
      </w:r>
      <w:proofErr w:type="spellEnd"/>
      <w:r>
        <w:rPr>
          <w:sz w:val="26"/>
          <w:szCs w:val="26"/>
        </w:rPr>
        <w:t xml:space="preserve"> для временного хранения ТКО 150 тыс. рублей, ликвидация несанкционированных свалок 200 тыс. рублей, в том числе в рамках заключенных соглашений о передаче полномочий 100 тыс. рублей.</w:t>
      </w:r>
      <w:proofErr w:type="gramEnd"/>
      <w:r>
        <w:rPr>
          <w:sz w:val="26"/>
          <w:szCs w:val="26"/>
        </w:rPr>
        <w:t xml:space="preserve"> Развитие экологического образования и воспитания в общеобразовательных учреждениях проведены 33 мероприятия.</w:t>
      </w:r>
    </w:p>
    <w:p w:rsidR="00505989" w:rsidRDefault="00505989" w:rsidP="00505989">
      <w:pPr>
        <w:pStyle w:val="ac"/>
        <w:ind w:left="-426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Муниципальная программа «Энергосбережение и повышение энергетической эффективности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на период до 2020 года». Финансирование по данной программе проводилось по следующим направлениям: «Повышение эффективности водоснабжения населенных пунктов» (приобретались расходные материалы МП «Коммунальщиком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района» для ремонта водопровода в х. Н-Паника в сумме 331 тыс. рублей), «Повышение энергетической эффективности» (оплата контрактов за перерасчет проектно- сметной документации по котельной МОУ «</w:t>
      </w:r>
      <w:proofErr w:type="spellStart"/>
      <w:r>
        <w:rPr>
          <w:sz w:val="26"/>
          <w:szCs w:val="26"/>
        </w:rPr>
        <w:t>Краснолиповская</w:t>
      </w:r>
      <w:proofErr w:type="spellEnd"/>
      <w:r>
        <w:rPr>
          <w:sz w:val="26"/>
          <w:szCs w:val="26"/>
        </w:rPr>
        <w:t xml:space="preserve"> СШ», и установка автономной котельной на сумму 934,2 тыс. рублей)</w:t>
      </w:r>
    </w:p>
    <w:p w:rsidR="00505989" w:rsidRDefault="00505989" w:rsidP="00505989">
      <w:pPr>
        <w:pStyle w:val="a5"/>
        <w:spacing w:after="0"/>
        <w:ind w:left="-426" w:firstLine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рамках муниципальной программы «Развитие муниципальной службы во Фроловском муниципальном районе Волгоградской области на 2017-2019 годы»</w:t>
      </w:r>
      <w:r>
        <w:rPr>
          <w:sz w:val="26"/>
          <w:szCs w:val="26"/>
        </w:rPr>
        <w:t xml:space="preserve"> в 2019году </w:t>
      </w:r>
      <w:proofErr w:type="gramStart"/>
      <w:r>
        <w:rPr>
          <w:sz w:val="26"/>
          <w:szCs w:val="26"/>
        </w:rPr>
        <w:t>прошли</w:t>
      </w:r>
      <w:proofErr w:type="gramEnd"/>
      <w:r>
        <w:rPr>
          <w:sz w:val="26"/>
          <w:szCs w:val="26"/>
        </w:rPr>
        <w:t xml:space="preserve"> повышение квалификации за счет средств местного бюджета прошел 8муниципальный служащий (исполнение 100%) , 3 муниципальных служащих прошли профессиональную переподготовку, и 1 муниципальный служащий получил обучение по профильным направлениям деятельности за счет средств местного бюджета.</w:t>
      </w:r>
      <w:r>
        <w:rPr>
          <w:bCs/>
          <w:sz w:val="26"/>
          <w:szCs w:val="26"/>
          <w:lang w:eastAsia="ru-RU"/>
        </w:rPr>
        <w:t xml:space="preserve"> Выделено  и освоено 30тыс. рублей.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</w:t>
      </w:r>
      <w:r w:rsidR="00505989">
        <w:rPr>
          <w:bCs/>
          <w:sz w:val="26"/>
          <w:szCs w:val="26"/>
        </w:rPr>
        <w:t xml:space="preserve">Во исполнение  муниципальной программы "Развитие культуры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 на 2017-2019 годы" </w:t>
      </w:r>
      <w:r w:rsidR="00505989">
        <w:rPr>
          <w:sz w:val="26"/>
          <w:szCs w:val="26"/>
        </w:rPr>
        <w:t xml:space="preserve">муниципальным бюджетным учреждением "Центр культуры, молодежной политики, физической культуры и спорта" администрации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 приобретено следующие оборудование:</w:t>
      </w:r>
    </w:p>
    <w:p w:rsidR="00505989" w:rsidRDefault="00505989" w:rsidP="00505989">
      <w:pPr>
        <w:pStyle w:val="ac"/>
        <w:ind w:left="-56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 комплекты: акустическая система, микрофоны, цифровая микшерная консоль;</w:t>
      </w:r>
    </w:p>
    <w:p w:rsidR="00505989" w:rsidRDefault="00505989" w:rsidP="00505989">
      <w:pPr>
        <w:pStyle w:val="ac"/>
        <w:ind w:left="-56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За комплект: лазерный проектор NEC P605UL 3LCD, проекционный столик </w:t>
      </w:r>
      <w:proofErr w:type="spellStart"/>
      <w:r>
        <w:rPr>
          <w:bCs/>
          <w:sz w:val="26"/>
          <w:szCs w:val="26"/>
        </w:rPr>
        <w:t>Lumien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Galan</w:t>
      </w:r>
      <w:proofErr w:type="spellEnd"/>
      <w:r>
        <w:rPr>
          <w:bCs/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505989" w:rsidRDefault="00505989" w:rsidP="00505989">
      <w:pPr>
        <w:pStyle w:val="ac"/>
        <w:ind w:left="-56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За музыкальный инструмент (баян) </w:t>
      </w:r>
      <w:proofErr w:type="spellStart"/>
      <w:r>
        <w:rPr>
          <w:bCs/>
          <w:sz w:val="26"/>
          <w:szCs w:val="26"/>
        </w:rPr>
        <w:t>Weltmeister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Romance</w:t>
      </w:r>
      <w:proofErr w:type="spellEnd"/>
      <w:r>
        <w:rPr>
          <w:bCs/>
          <w:sz w:val="26"/>
          <w:szCs w:val="26"/>
        </w:rPr>
        <w:t>;</w:t>
      </w:r>
    </w:p>
    <w:p w:rsidR="00505989" w:rsidRDefault="00505989" w:rsidP="00505989">
      <w:pPr>
        <w:pStyle w:val="ac"/>
        <w:ind w:left="-56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 сценические костюмы и сценическую обувь (</w:t>
      </w:r>
      <w:proofErr w:type="spellStart"/>
      <w:r>
        <w:rPr>
          <w:bCs/>
          <w:sz w:val="26"/>
          <w:szCs w:val="26"/>
        </w:rPr>
        <w:t>гусарики</w:t>
      </w:r>
      <w:proofErr w:type="spellEnd"/>
      <w:r>
        <w:rPr>
          <w:bCs/>
          <w:sz w:val="26"/>
          <w:szCs w:val="26"/>
        </w:rPr>
        <w:t xml:space="preserve"> женские) на сумму 1455,5 тыс. рублей (исполнение 100%).</w:t>
      </w:r>
    </w:p>
    <w:p w:rsidR="00505989" w:rsidRDefault="00505989" w:rsidP="00505989">
      <w:pPr>
        <w:pStyle w:val="ac"/>
        <w:ind w:lef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«Улучшение жилищных условий молодых семей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на 2017-2019 года» была разработана в соответствии с Постановлением Правительства РФ от 17.12.2010 №1050 «О федеральной целевой программе «Жилище» на 2015-2020 годы». Программа предусматривает создание системы поддержки молодых семей в решении жилищной проблемы.</w:t>
      </w:r>
    </w:p>
    <w:p w:rsidR="00505989" w:rsidRDefault="00505989" w:rsidP="00505989">
      <w:pPr>
        <w:pStyle w:val="ac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было выделено средств: 1097,5 тыс. рублей, а фактически использовано 1050 тыс. рублей.</w:t>
      </w:r>
    </w:p>
    <w:p w:rsidR="00505989" w:rsidRDefault="00505989" w:rsidP="00505989">
      <w:pPr>
        <w:pStyle w:val="ac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соглашению от 20.03.2019г  №18656000-1-2019-001  в течение 2019 года реализовали Свидетельство на право получения социальной выплаты на приобретение жилого помещения или строительство индивидуального жилого дома 3 семьи: семья </w:t>
      </w:r>
      <w:proofErr w:type="spellStart"/>
      <w:r>
        <w:rPr>
          <w:sz w:val="26"/>
          <w:szCs w:val="26"/>
        </w:rPr>
        <w:t>Ананьвых</w:t>
      </w:r>
      <w:proofErr w:type="spellEnd"/>
      <w:r>
        <w:rPr>
          <w:sz w:val="26"/>
          <w:szCs w:val="26"/>
        </w:rPr>
        <w:t xml:space="preserve"> (294 тыс. рублей), семья </w:t>
      </w:r>
      <w:proofErr w:type="spellStart"/>
      <w:r>
        <w:rPr>
          <w:sz w:val="26"/>
          <w:szCs w:val="26"/>
        </w:rPr>
        <w:t>Курмакаевых</w:t>
      </w:r>
      <w:proofErr w:type="spellEnd"/>
      <w:r>
        <w:rPr>
          <w:sz w:val="26"/>
          <w:szCs w:val="26"/>
        </w:rPr>
        <w:t xml:space="preserve"> (378 тыс. рублей), семья Чеботаревых (378 тыс. рублей).</w:t>
      </w:r>
    </w:p>
    <w:p w:rsidR="00505989" w:rsidRDefault="00505989" w:rsidP="00505989">
      <w:pPr>
        <w:pStyle w:val="ac"/>
        <w:ind w:left="-567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Муниципальная программа "Развитие образования </w:t>
      </w:r>
      <w:proofErr w:type="gramStart"/>
      <w:r>
        <w:rPr>
          <w:bCs/>
          <w:sz w:val="26"/>
          <w:szCs w:val="26"/>
        </w:rPr>
        <w:t>во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Фроловском</w:t>
      </w:r>
      <w:proofErr w:type="gramEnd"/>
      <w:r>
        <w:rPr>
          <w:bCs/>
          <w:sz w:val="26"/>
          <w:szCs w:val="26"/>
        </w:rPr>
        <w:t xml:space="preserve"> муниципальном районе на 2018-2020 годы"</w:t>
      </w:r>
      <w:r>
        <w:rPr>
          <w:sz w:val="26"/>
          <w:szCs w:val="26"/>
        </w:rPr>
        <w:t xml:space="preserve"> состоит из 3-х подпрограмм, в которых определены стратегические направления развития системы образования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505989" w:rsidRDefault="00505989" w:rsidP="00505989">
      <w:pPr>
        <w:pStyle w:val="ac"/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финансовое обеспечение муниципальной программы в 2019 году из муниципального бюджета предусмотрены ассигнования в объеме 185447,7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профинансировано и освоено 180991,0 тыс.рублей, что составляет 97,6%.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05989">
        <w:rPr>
          <w:sz w:val="26"/>
          <w:szCs w:val="26"/>
        </w:rPr>
        <w:t>В разрезе подпрограмм состояние финансирования и выполнения мероприятий следующее.</w:t>
      </w:r>
    </w:p>
    <w:p w:rsidR="00505989" w:rsidRDefault="00B95507" w:rsidP="00B95507">
      <w:pPr>
        <w:pStyle w:val="ac"/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05989">
        <w:rPr>
          <w:sz w:val="26"/>
          <w:szCs w:val="26"/>
        </w:rPr>
        <w:t>По подпрограмме  «Обеспечение функционирования системы образования и прочие мероприятия в области образования выделены следующие мероприятия: «Санитарная безопасность образовательных учреждений</w:t>
      </w:r>
      <w:r w:rsidR="00505989">
        <w:rPr>
          <w:b/>
          <w:sz w:val="26"/>
          <w:szCs w:val="26"/>
        </w:rPr>
        <w:t>».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Целью является обеспечение условий для обучения обучающихся и удовлетворения потребностей граждан в доступном и качественном образовании.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 2019 год было освоено 4180, 0 тыс. рублей.</w:t>
      </w:r>
    </w:p>
    <w:p w:rsidR="00505989" w:rsidRDefault="00505989" w:rsidP="00B9550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>Основными мероприятиями подпрограммы являются: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ремонт кровель зданий образовательных организаций (2002 тыс. рублей);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оборудование, ремонт, техническое обслуживание котельных (764 тыс. рублей);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медицинского осмотра сотрудников образовательных организаций (895,0 тыс. рублей);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Текущий ремонт водоснабжения, канализации, системы отопления (210,0 тыс. рублей).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05989">
        <w:rPr>
          <w:sz w:val="26"/>
          <w:szCs w:val="26"/>
        </w:rPr>
        <w:t xml:space="preserve">Целью мероприятия «Безопасность образовательных организаций» является создание условий, необходимых для обеспечения системы безопасного функционирования  организаций образования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района, недопущения травматизма обучающихся и сотрудников образовательных учреждений.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 вышеуказанные цели в 2019 год было предусмотрено 9890 тыс. рублей.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Основные статьи расходов подпрограммы предусмотрены  на обеспечение противопожарной, технической и антитеррористической защиты зданий и сооружений образовательных организаций.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proofErr w:type="gramStart"/>
      <w:r w:rsidR="00505989">
        <w:rPr>
          <w:sz w:val="26"/>
          <w:szCs w:val="26"/>
        </w:rPr>
        <w:t>В рамках подпрограммы в подразделе «Прочие мероприятия по обеспечению функционирования  муниципальной системы образования» проводились мероприятия по</w:t>
      </w:r>
      <w:r w:rsidR="00505989">
        <w:t xml:space="preserve"> </w:t>
      </w:r>
      <w:r w:rsidR="00505989">
        <w:rPr>
          <w:sz w:val="26"/>
          <w:szCs w:val="26"/>
        </w:rPr>
        <w:t xml:space="preserve">организации и проведению государственной итоговой аттестации по образовательным программам основного, среднего общего образования учащихся общеобразовательных организаций, </w:t>
      </w:r>
      <w:r w:rsidR="00505989">
        <w:t xml:space="preserve"> </w:t>
      </w:r>
      <w:r w:rsidR="00505989">
        <w:rPr>
          <w:sz w:val="26"/>
          <w:szCs w:val="26"/>
        </w:rPr>
        <w:t>приобретались учебники,  методическая  литература,   учебные видеофильмы и пособия на электронных носителях и периодические методические издания, закупка компьютерного оборудования  и комплектующих;</w:t>
      </w:r>
      <w:proofErr w:type="gramEnd"/>
      <w:r w:rsidR="00505989">
        <w:rPr>
          <w:sz w:val="26"/>
          <w:szCs w:val="26"/>
        </w:rPr>
        <w:t xml:space="preserve"> программ, электронных носителей для формирования безопасной информационной среды в сфере образования.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05989">
        <w:rPr>
          <w:sz w:val="26"/>
          <w:szCs w:val="26"/>
        </w:rPr>
        <w:t xml:space="preserve">На выполнение муниципальной услуги: организация предоставления общедоступного бесплатного дошкольного образования и содержания ребенка в образовательных организациях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района, реализующих основную программу дошкольного образования в 2019 год было предусмотрено 24994,6 тыс. рублей.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5989">
        <w:rPr>
          <w:sz w:val="26"/>
          <w:szCs w:val="26"/>
        </w:rPr>
        <w:t xml:space="preserve">На выполнение муниципальной услуги: организация предоставления общедоступного бесплатного общего образования   в образовательных организациях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района, реализующих основную программу  начального, основного, общего  образования в 2019 год было предусмотрено 136644,1 тыс. рублей.</w:t>
      </w:r>
    </w:p>
    <w:p w:rsidR="00505989" w:rsidRDefault="00505989" w:rsidP="00B95507">
      <w:pPr>
        <w:pStyle w:val="ac"/>
        <w:ind w:left="-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Целью подпрограммы «Развитие дошкольного, общего образования и дополнительного образования детей» является обеспечение условий для модернизации системы образования во Фроловском муниципальном района и удовлетворение потребностей граждан в доступном и качественном образовании.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Основными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мероприятими</w:t>
      </w:r>
      <w:proofErr w:type="spellEnd"/>
      <w:r>
        <w:rPr>
          <w:sz w:val="26"/>
          <w:szCs w:val="26"/>
        </w:rPr>
        <w:t xml:space="preserve"> в 2019 году было - лицензирование медицинской деятельности и  ремонт в учебных кабинетах  в целях создания «Центров Точка роста» в МОУ «</w:t>
      </w:r>
      <w:proofErr w:type="spellStart"/>
      <w:r>
        <w:rPr>
          <w:sz w:val="26"/>
          <w:szCs w:val="26"/>
        </w:rPr>
        <w:t>Ветютневская</w:t>
      </w:r>
      <w:proofErr w:type="spellEnd"/>
      <w:r>
        <w:rPr>
          <w:sz w:val="26"/>
          <w:szCs w:val="26"/>
        </w:rPr>
        <w:t xml:space="preserve"> СШ», МОУ «</w:t>
      </w:r>
      <w:proofErr w:type="spellStart"/>
      <w:r>
        <w:rPr>
          <w:sz w:val="26"/>
          <w:szCs w:val="26"/>
        </w:rPr>
        <w:t>Образцовская</w:t>
      </w:r>
      <w:proofErr w:type="spellEnd"/>
      <w:r>
        <w:rPr>
          <w:sz w:val="26"/>
          <w:szCs w:val="26"/>
        </w:rPr>
        <w:t xml:space="preserve"> СШ»,</w:t>
      </w:r>
      <w:r w:rsidR="00B95507">
        <w:rPr>
          <w:sz w:val="26"/>
          <w:szCs w:val="26"/>
        </w:rPr>
        <w:t xml:space="preserve"> </w:t>
      </w:r>
      <w:r>
        <w:rPr>
          <w:sz w:val="26"/>
          <w:szCs w:val="26"/>
        </w:rPr>
        <w:t>МОУ «</w:t>
      </w:r>
      <w:proofErr w:type="spellStart"/>
      <w:r>
        <w:rPr>
          <w:sz w:val="26"/>
          <w:szCs w:val="26"/>
        </w:rPr>
        <w:t>Большелычакская</w:t>
      </w:r>
      <w:proofErr w:type="spellEnd"/>
      <w:r>
        <w:rPr>
          <w:sz w:val="26"/>
          <w:szCs w:val="26"/>
        </w:rPr>
        <w:t xml:space="preserve"> СШ». Всего освоено бюджетных средств 4484,9 тыс. рублей.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05989">
        <w:rPr>
          <w:sz w:val="26"/>
          <w:szCs w:val="26"/>
        </w:rPr>
        <w:t xml:space="preserve">Подпрограмма «Организация летнего отдыха, оздоровления, занятости детей и подростков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района»</w:t>
      </w:r>
      <w:r w:rsidR="00505989">
        <w:rPr>
          <w:b/>
          <w:i/>
          <w:sz w:val="26"/>
          <w:szCs w:val="26"/>
        </w:rPr>
        <w:t xml:space="preserve"> </w:t>
      </w:r>
      <w:r w:rsidR="00505989">
        <w:rPr>
          <w:sz w:val="26"/>
          <w:szCs w:val="26"/>
        </w:rPr>
        <w:t xml:space="preserve"> направлена на создание условий для организации оздоровления учащихся, их занятости в каникулярное время.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по вышеназванной подпрограмме в 2019 году предусмотрено в размере 1133,7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исполнение составляет 117,3 тыс.рублей (98,6% от плана) В 2019 году оздоровлено 587 детей.</w:t>
      </w:r>
    </w:p>
    <w:p w:rsidR="00505989" w:rsidRDefault="00B95507" w:rsidP="00B95507">
      <w:pPr>
        <w:pStyle w:val="ac"/>
        <w:ind w:left="-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989">
        <w:rPr>
          <w:sz w:val="26"/>
          <w:szCs w:val="26"/>
        </w:rPr>
        <w:t>Исполнение</w:t>
      </w:r>
      <w:r w:rsidR="00505989">
        <w:rPr>
          <w:bCs/>
          <w:sz w:val="26"/>
          <w:szCs w:val="26"/>
        </w:rPr>
        <w:t xml:space="preserve"> по ведомственной целевой программе «Профилактика преступлений и правонарушений граждан на территории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 на 2017-2019г.г.»</w:t>
      </w:r>
      <w:r w:rsidR="00505989">
        <w:rPr>
          <w:sz w:val="26"/>
          <w:szCs w:val="26"/>
        </w:rPr>
        <w:t xml:space="preserve"> составило 30 тыс. рублей (93,8%). Перечень мероприятий: предупреждение беспризорности, безнадзорности, профилактика правонарушений несовершеннолетних, культурное, спортивное, правовое и военно-патриотическое воспитание граждан, предупреждение преступлений и правонарушений в общественных местах.</w:t>
      </w:r>
    </w:p>
    <w:p w:rsidR="00505989" w:rsidRDefault="00B95507" w:rsidP="00B95507">
      <w:pPr>
        <w:pStyle w:val="ac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505989">
        <w:rPr>
          <w:bCs/>
          <w:sz w:val="26"/>
          <w:szCs w:val="26"/>
        </w:rPr>
        <w:t xml:space="preserve">В рамках ведомственной целевой программы «Реализация молодежной политики на территории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 на 2017-2019г.г.»</w:t>
      </w:r>
      <w:r w:rsidR="00505989">
        <w:rPr>
          <w:sz w:val="26"/>
          <w:szCs w:val="26"/>
        </w:rPr>
        <w:t xml:space="preserve"> </w:t>
      </w:r>
      <w:proofErr w:type="spellStart"/>
      <w:r w:rsidR="00505989">
        <w:rPr>
          <w:sz w:val="26"/>
          <w:szCs w:val="26"/>
        </w:rPr>
        <w:t>проведенины</w:t>
      </w:r>
      <w:proofErr w:type="spellEnd"/>
      <w:r w:rsidR="00505989">
        <w:rPr>
          <w:sz w:val="26"/>
          <w:szCs w:val="26"/>
        </w:rPr>
        <w:t xml:space="preserve"> следующие мероприятия: </w:t>
      </w:r>
      <w:proofErr w:type="spellStart"/>
      <w:r w:rsidR="00505989">
        <w:rPr>
          <w:sz w:val="26"/>
          <w:szCs w:val="26"/>
        </w:rPr>
        <w:t>межпоселенческих</w:t>
      </w:r>
      <w:proofErr w:type="spellEnd"/>
      <w:r w:rsidR="00505989">
        <w:rPr>
          <w:sz w:val="26"/>
          <w:szCs w:val="26"/>
        </w:rPr>
        <w:t xml:space="preserve"> районных мероприятий с детьми подростками и молодёжью патриотической направленности, организация оздоровления и отдыха детей и подростков, поддержка деятельности детских и молодежных общественных организаций, поддержка социально значимых молодёжных акций, проведение мероприятий в рамках международных и российских дат, участие в областных мероприятиях</w:t>
      </w:r>
      <w:proofErr w:type="gramEnd"/>
      <w:r w:rsidR="00505989">
        <w:rPr>
          <w:sz w:val="26"/>
          <w:szCs w:val="26"/>
        </w:rPr>
        <w:t xml:space="preserve">, </w:t>
      </w:r>
      <w:proofErr w:type="gramStart"/>
      <w:r w:rsidR="00505989">
        <w:rPr>
          <w:sz w:val="26"/>
          <w:szCs w:val="26"/>
        </w:rPr>
        <w:t>конкурсах</w:t>
      </w:r>
      <w:proofErr w:type="gramEnd"/>
      <w:r w:rsidR="00505989">
        <w:rPr>
          <w:sz w:val="26"/>
          <w:szCs w:val="26"/>
        </w:rPr>
        <w:t xml:space="preserve">, проведение мероприятий по профилактике экстремизма, развитие толерантности среди молодёжи, организация волонтерской деятельности, проведение мероприятий по пропаганде здорового образа жизни. В рамках программы проведена организация отдыха детей (приобретено 4 путевки в МАУ </w:t>
      </w:r>
      <w:r w:rsidR="00505989">
        <w:rPr>
          <w:sz w:val="26"/>
          <w:szCs w:val="26"/>
        </w:rPr>
        <w:lastRenderedPageBreak/>
        <w:t>«</w:t>
      </w:r>
      <w:proofErr w:type="spellStart"/>
      <w:r w:rsidR="00505989">
        <w:rPr>
          <w:sz w:val="26"/>
          <w:szCs w:val="26"/>
        </w:rPr>
        <w:t>Нованикалаевская</w:t>
      </w:r>
      <w:proofErr w:type="spellEnd"/>
      <w:r w:rsidR="00505989">
        <w:rPr>
          <w:sz w:val="26"/>
          <w:szCs w:val="26"/>
        </w:rPr>
        <w:t xml:space="preserve"> детская база отдыха Спутник»)</w:t>
      </w:r>
      <w:proofErr w:type="gramStart"/>
      <w:r w:rsidR="00505989">
        <w:rPr>
          <w:sz w:val="26"/>
          <w:szCs w:val="26"/>
        </w:rPr>
        <w:t>.И</w:t>
      </w:r>
      <w:proofErr w:type="gramEnd"/>
      <w:r w:rsidR="00505989">
        <w:rPr>
          <w:sz w:val="26"/>
          <w:szCs w:val="26"/>
        </w:rPr>
        <w:t>сполнение составило 150,4 тыс. рублей (97,5%).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</w:p>
    <w:p w:rsidR="00505989" w:rsidRDefault="00B95507" w:rsidP="00B95507">
      <w:pPr>
        <w:pStyle w:val="ac"/>
        <w:ind w:left="-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5989">
        <w:rPr>
          <w:sz w:val="26"/>
          <w:szCs w:val="26"/>
        </w:rPr>
        <w:t xml:space="preserve">В рамках реализации мероприятий ведомственной целевой программы "По противодействию незаконному обороту наркотических средств и их </w:t>
      </w:r>
      <w:proofErr w:type="spellStart"/>
      <w:r w:rsidR="00505989">
        <w:rPr>
          <w:sz w:val="26"/>
          <w:szCs w:val="26"/>
        </w:rPr>
        <w:t>прекурсоров</w:t>
      </w:r>
      <w:proofErr w:type="spellEnd"/>
      <w:r w:rsidR="00505989">
        <w:rPr>
          <w:sz w:val="26"/>
          <w:szCs w:val="26"/>
        </w:rPr>
        <w:t xml:space="preserve"> и профилактике этого оборота на территории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 на 2017-2019г.г." обеспечено:</w:t>
      </w:r>
    </w:p>
    <w:p w:rsidR="00505989" w:rsidRDefault="00505989" w:rsidP="00505989">
      <w:pPr>
        <w:pStyle w:val="ac"/>
        <w:ind w:left="-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-Выявление потребителей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 на ранней стадии, снижение доступности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</w:t>
      </w:r>
      <w:proofErr w:type="gramStart"/>
      <w:r>
        <w:rPr>
          <w:sz w:val="26"/>
          <w:szCs w:val="26"/>
        </w:rPr>
        <w:t>ств дл</w:t>
      </w:r>
      <w:proofErr w:type="gramEnd"/>
      <w:r>
        <w:rPr>
          <w:sz w:val="26"/>
          <w:szCs w:val="26"/>
        </w:rPr>
        <w:t>я молодежи района;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специалистов для ведения профилактической работы, их информационное и методическое обеспечение;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информационности населения района по проблемам злоупотребления </w:t>
      </w:r>
      <w:proofErr w:type="spellStart"/>
      <w:r>
        <w:rPr>
          <w:sz w:val="26"/>
          <w:szCs w:val="26"/>
        </w:rPr>
        <w:t>психоактивными</w:t>
      </w:r>
      <w:proofErr w:type="spellEnd"/>
      <w:r>
        <w:rPr>
          <w:sz w:val="26"/>
          <w:szCs w:val="26"/>
        </w:rPr>
        <w:t xml:space="preserve"> веществами, разработка и изготовление видеороликов и демонстрационных материалов по профилактике злоупотребления ПАВ;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интереса родителей к вопросам антинаркотического воспитания детей и подростков (увеличение количества обращений к специалистам);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-расширение охвата детей, подростков, и молодежи программами профилактики злоупотребления </w:t>
      </w:r>
      <w:proofErr w:type="spellStart"/>
      <w:r>
        <w:rPr>
          <w:sz w:val="26"/>
          <w:szCs w:val="26"/>
        </w:rPr>
        <w:t>психоактивными</w:t>
      </w:r>
      <w:proofErr w:type="spellEnd"/>
      <w:r>
        <w:rPr>
          <w:sz w:val="26"/>
          <w:szCs w:val="26"/>
        </w:rPr>
        <w:t xml:space="preserve"> веществами в учебных заведениях;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позитивного отношения населения к здоровому образу жизни.</w:t>
      </w:r>
    </w:p>
    <w:p w:rsidR="00505989" w:rsidRDefault="00505989" w:rsidP="00505989">
      <w:pPr>
        <w:pStyle w:val="a5"/>
        <w:spacing w:after="0"/>
        <w:ind w:left="-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Выделено 15 тыс. рублей, освоено 12 тыс. рублей.</w:t>
      </w:r>
    </w:p>
    <w:p w:rsidR="00505989" w:rsidRDefault="00B95507" w:rsidP="00B95507">
      <w:pPr>
        <w:pStyle w:val="ac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505989">
        <w:rPr>
          <w:bCs/>
          <w:sz w:val="26"/>
          <w:szCs w:val="26"/>
        </w:rPr>
        <w:t xml:space="preserve">Ведомственная целевая программа "Развитие физической культуры и спорта на территории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 на 2017-2019 г.г."</w:t>
      </w:r>
      <w:r w:rsidR="00505989">
        <w:rPr>
          <w:sz w:val="26"/>
          <w:szCs w:val="26"/>
        </w:rPr>
        <w:t xml:space="preserve"> Бюджетные средства в 2019 году были направлены на следующие мероприятия: Зональные и областные соревнования -36,0 тыс. рублей, районные соревнования 47,8 тыс. рублей, поддержка досуговой деятельности детей, подростков и молодёжи на территории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 470,2 тыс. рублей. </w:t>
      </w:r>
    </w:p>
    <w:p w:rsidR="00505989" w:rsidRDefault="00505989" w:rsidP="00505989">
      <w:pPr>
        <w:pStyle w:val="ac"/>
        <w:ind w:left="-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рамках ведомственной целевой программы «Повышение качества бухгалтерского, бюджетного и налогового учета в МКУ «Централизованная бухгалтерия» администрации </w:t>
      </w:r>
      <w:proofErr w:type="spellStart"/>
      <w:r>
        <w:rPr>
          <w:bCs/>
          <w:sz w:val="26"/>
          <w:szCs w:val="26"/>
        </w:rPr>
        <w:t>Фроловского</w:t>
      </w:r>
      <w:proofErr w:type="spellEnd"/>
      <w:r>
        <w:rPr>
          <w:bCs/>
          <w:sz w:val="26"/>
          <w:szCs w:val="26"/>
        </w:rPr>
        <w:t xml:space="preserve"> муниципального района на 2017-2019 г.г.» бюджетные средства направлены на содержание МКУ «Централизованная бухгалтерия» администрации </w:t>
      </w:r>
      <w:proofErr w:type="spellStart"/>
      <w:r>
        <w:rPr>
          <w:bCs/>
          <w:sz w:val="26"/>
          <w:szCs w:val="26"/>
        </w:rPr>
        <w:t>Фроловского</w:t>
      </w:r>
      <w:proofErr w:type="spellEnd"/>
      <w:r>
        <w:rPr>
          <w:bCs/>
          <w:sz w:val="26"/>
          <w:szCs w:val="26"/>
        </w:rPr>
        <w:t xml:space="preserve"> муниципального района, в том числе на проведение следующих мероприятий:</w:t>
      </w:r>
      <w:r>
        <w:rPr>
          <w:sz w:val="26"/>
          <w:szCs w:val="26"/>
        </w:rPr>
        <w:t xml:space="preserve">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услуг, участие</w:t>
      </w:r>
      <w:proofErr w:type="gramEnd"/>
      <w:r>
        <w:rPr>
          <w:sz w:val="26"/>
          <w:szCs w:val="26"/>
        </w:rPr>
        <w:t xml:space="preserve"> в формировании муниципального задания на выполнение работ (оказание услуг) обслуживаемых учреждений с последующим определением финансового обеспечения их деятельности, укрепление материально-технической базы,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деятельности. Исполнение составило 5084,2 тыс. рублей (95%)</w:t>
      </w:r>
    </w:p>
    <w:p w:rsidR="00505989" w:rsidRDefault="00B95507" w:rsidP="00B95507">
      <w:pPr>
        <w:pStyle w:val="ac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 w:rsidR="00505989">
        <w:rPr>
          <w:bCs/>
          <w:sz w:val="26"/>
          <w:szCs w:val="26"/>
        </w:rPr>
        <w:t xml:space="preserve">В рамках ведомственной целевой программы "Реализация культурной политики на территории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 на 2017-2019 годы"</w:t>
      </w:r>
      <w:r w:rsidR="00505989">
        <w:rPr>
          <w:sz w:val="26"/>
          <w:szCs w:val="26"/>
        </w:rPr>
        <w:t xml:space="preserve"> в 2019 году проведены следующие мероприятия: организация и проведение районных фестивалей, смотров-конкурсов, выставок, отражающих результаты творческой деятельности жителей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района, организация массовых мероприятий, праздников, театрализованных представлений, направленных на сохранение и развитие народных традиций, возрождение самобытных форм традиционной культуры  народов, проживающих на территории района</w:t>
      </w:r>
      <w:proofErr w:type="gramEnd"/>
      <w:r w:rsidR="00505989">
        <w:rPr>
          <w:sz w:val="26"/>
          <w:szCs w:val="26"/>
        </w:rPr>
        <w:t xml:space="preserve">, организовано чествование юбиляров, долгожителей, почетных граждан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района, поздравление с </w:t>
      </w:r>
      <w:r w:rsidR="00505989">
        <w:rPr>
          <w:sz w:val="26"/>
          <w:szCs w:val="26"/>
        </w:rPr>
        <w:lastRenderedPageBreak/>
        <w:t>профессиональными праздниками работников учреждений и организаций, проведение мероприятий в рамках «Школы социальной активности», организация учебно-методических мероприятий, стимулирование интереса жителей района к творчеству, выявление и поддержка дарований.  Выделено 407 тыс. рублей, освоено 389 тыс. рублей.</w:t>
      </w:r>
    </w:p>
    <w:p w:rsidR="00505989" w:rsidRDefault="00B95507" w:rsidP="00B95507">
      <w:pPr>
        <w:pStyle w:val="ac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 w:rsidR="00505989">
        <w:rPr>
          <w:bCs/>
          <w:sz w:val="26"/>
          <w:szCs w:val="26"/>
        </w:rPr>
        <w:t xml:space="preserve">Ведомственная целевая программа "Развитие и поддержка малого и среднего предпринимательства во ФМР на 2017-2019 годы" В 2019 году согласно программы проводились следующие мероприятии: консультирование объектов малого и среднего предпринимательства по вопросам законодательства в сфере регулирования предпринимательской деятельности, господдержки, лицензирования, обеспечение информированности субъектов предпринимательства посредством размещения информационных материалов на официальном сайте администрации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района.</w:t>
      </w:r>
      <w:proofErr w:type="gramEnd"/>
      <w:r w:rsidR="00505989">
        <w:rPr>
          <w:bCs/>
          <w:sz w:val="26"/>
          <w:szCs w:val="26"/>
        </w:rPr>
        <w:t xml:space="preserve"> Бюджетные средства (50 тыс. рублей)  освоено 8,7 тыс. рублей.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505989">
        <w:rPr>
          <w:bCs/>
          <w:sz w:val="26"/>
          <w:szCs w:val="26"/>
        </w:rPr>
        <w:t>В 2019 году по ведомственной целевой программе "Обеспечение эффективного функционирования МБУ "Техника" на 2017-2019 годы"</w:t>
      </w:r>
      <w:r w:rsidR="00505989">
        <w:rPr>
          <w:sz w:val="26"/>
          <w:szCs w:val="26"/>
        </w:rPr>
        <w:t xml:space="preserve"> освоено 9998,7 (94,6%) В результате деятельности муниципального бюджетного учреждения «Техника» Администрации </w:t>
      </w:r>
      <w:proofErr w:type="spellStart"/>
      <w:r w:rsidR="00505989">
        <w:rPr>
          <w:sz w:val="26"/>
          <w:szCs w:val="26"/>
        </w:rPr>
        <w:t>Фроловского</w:t>
      </w:r>
      <w:proofErr w:type="spellEnd"/>
      <w:r w:rsidR="00505989">
        <w:rPr>
          <w:sz w:val="26"/>
          <w:szCs w:val="26"/>
        </w:rPr>
        <w:t xml:space="preserve"> муниципального района в рамках программы выполняет основные задачи: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обеспечения хозяйственно – эксплуатационного и транспортного обслуживания органов местного самоуправления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и структурных подразделений Администрации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505989" w:rsidRDefault="00505989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 обеспечения надлежащего содержания, эксплуатации и сохранности находящегося в оперативном управлении учреждения движимого и недвижимого имущества;</w:t>
      </w:r>
    </w:p>
    <w:p w:rsidR="00505989" w:rsidRDefault="00B95507" w:rsidP="00505989">
      <w:pPr>
        <w:pStyle w:val="ac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989">
        <w:rPr>
          <w:sz w:val="26"/>
          <w:szCs w:val="26"/>
        </w:rPr>
        <w:t>обеспечения работоспособности котельных и технической эксплуатации взрывопожароопасных производственных объектов, выполнению обязательных мероприятий при эксплуатации опасного производственного объекта, проведению текущего ремонта, аварийно – восстановительных работ, подготовке к отопительному сезону.</w:t>
      </w:r>
    </w:p>
    <w:p w:rsidR="00505989" w:rsidRDefault="00B95507" w:rsidP="00B95507">
      <w:pPr>
        <w:pStyle w:val="ac"/>
        <w:ind w:left="-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505989">
        <w:rPr>
          <w:bCs/>
          <w:sz w:val="26"/>
          <w:szCs w:val="26"/>
        </w:rPr>
        <w:t xml:space="preserve">В рамках ведомственной целевой программы "Развитие культуры, молодежной политики, физической культуры и спорта </w:t>
      </w:r>
      <w:proofErr w:type="spellStart"/>
      <w:r w:rsidR="00505989">
        <w:rPr>
          <w:bCs/>
          <w:sz w:val="26"/>
          <w:szCs w:val="26"/>
        </w:rPr>
        <w:t>Фроловского</w:t>
      </w:r>
      <w:proofErr w:type="spellEnd"/>
      <w:r w:rsidR="00505989">
        <w:rPr>
          <w:bCs/>
          <w:sz w:val="26"/>
          <w:szCs w:val="26"/>
        </w:rPr>
        <w:t xml:space="preserve"> муниципального района на 2017-2019г.г."</w:t>
      </w:r>
      <w:r w:rsidR="00505989">
        <w:rPr>
          <w:sz w:val="26"/>
          <w:szCs w:val="26"/>
        </w:rPr>
        <w:t xml:space="preserve"> в 2019 году предусмотрены расходы на выполнение муниципальных услуг: «Культурно-досуговая деятельность» (Организация мероприятий, предоставление консультационных и методических услуг), «Библиотечное, библиографическое и информационное обслуживание», «Организация досуга детей, подростков и молодёжи», «Физкультурно-оздоровительная деятельность». Исполнение по данной ведомственной целевой программе составило 3355,1 тыс. рублей или 92,9 процентов.</w:t>
      </w:r>
    </w:p>
    <w:p w:rsidR="00505989" w:rsidRDefault="00505989" w:rsidP="00505989">
      <w:pPr>
        <w:pStyle w:val="ac"/>
        <w:ind w:left="-567"/>
        <w:jc w:val="both"/>
        <w:rPr>
          <w:bCs/>
          <w:sz w:val="26"/>
          <w:szCs w:val="26"/>
        </w:rPr>
      </w:pPr>
    </w:p>
    <w:p w:rsidR="00B95507" w:rsidRDefault="00B95507" w:rsidP="00505989">
      <w:pPr>
        <w:pStyle w:val="ac"/>
        <w:ind w:left="-567"/>
        <w:jc w:val="both"/>
        <w:rPr>
          <w:bCs/>
          <w:sz w:val="26"/>
          <w:szCs w:val="26"/>
        </w:rPr>
      </w:pPr>
    </w:p>
    <w:p w:rsidR="00505989" w:rsidRDefault="00505989" w:rsidP="00505989">
      <w:pPr>
        <w:pStyle w:val="ac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Финансового отдела</w:t>
      </w:r>
    </w:p>
    <w:p w:rsidR="00505989" w:rsidRDefault="00505989" w:rsidP="00505989">
      <w:pPr>
        <w:pStyle w:val="ac"/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</w:t>
      </w:r>
      <w:proofErr w:type="spellStart"/>
      <w:r>
        <w:rPr>
          <w:bCs/>
          <w:sz w:val="26"/>
          <w:szCs w:val="26"/>
        </w:rPr>
        <w:t>Фроловского</w:t>
      </w:r>
      <w:proofErr w:type="spellEnd"/>
      <w:r>
        <w:rPr>
          <w:bCs/>
          <w:sz w:val="26"/>
          <w:szCs w:val="26"/>
        </w:rPr>
        <w:t xml:space="preserve"> муниципального района                          Н.В. Лысенко</w:t>
      </w: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505989" w:rsidRDefault="00505989" w:rsidP="00505989">
      <w:pPr>
        <w:rPr>
          <w:lang w:bidi="ar-SA"/>
        </w:rPr>
      </w:pPr>
    </w:p>
    <w:p w:rsidR="002C4CB5" w:rsidRDefault="002C4CB5"/>
    <w:sectPr w:rsidR="002C4CB5" w:rsidSect="00B955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989"/>
    <w:rsid w:val="000D4882"/>
    <w:rsid w:val="002C4CB5"/>
    <w:rsid w:val="00505989"/>
    <w:rsid w:val="0051534C"/>
    <w:rsid w:val="00855D36"/>
    <w:rsid w:val="00B95507"/>
    <w:rsid w:val="00C20813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05989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98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505989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0598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Body Text"/>
    <w:basedOn w:val="a"/>
    <w:link w:val="11"/>
    <w:semiHidden/>
    <w:unhideWhenUsed/>
    <w:rsid w:val="00505989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50598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505989"/>
    <w:pPr>
      <w:ind w:left="283" w:firstLine="113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05989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9">
    <w:name w:val="Subtitle"/>
    <w:basedOn w:val="a"/>
    <w:next w:val="a5"/>
    <w:link w:val="aa"/>
    <w:qFormat/>
    <w:rsid w:val="00505989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rsid w:val="00505989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ab">
    <w:name w:val="Без интервала Знак"/>
    <w:link w:val="ac"/>
    <w:uiPriority w:val="1"/>
    <w:locked/>
    <w:rsid w:val="00505989"/>
    <w:rPr>
      <w:rFonts w:ascii="Times New Roman" w:eastAsia="Times New Roman" w:hAnsi="Times New Roman" w:cs="Times New Roman"/>
      <w:sz w:val="24"/>
    </w:rPr>
  </w:style>
  <w:style w:type="paragraph" w:styleId="ac">
    <w:name w:val="No Spacing"/>
    <w:link w:val="ab"/>
    <w:uiPriority w:val="1"/>
    <w:qFormat/>
    <w:rsid w:val="005059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Название объекта2"/>
    <w:basedOn w:val="a"/>
    <w:rsid w:val="00505989"/>
    <w:pPr>
      <w:jc w:val="center"/>
    </w:pPr>
    <w:rPr>
      <w:rFonts w:ascii="Arial" w:hAnsi="Arial" w:cs="Arial"/>
      <w:b/>
      <w:bCs/>
      <w:sz w:val="28"/>
      <w:szCs w:val="36"/>
    </w:rPr>
  </w:style>
  <w:style w:type="paragraph" w:customStyle="1" w:styleId="12">
    <w:name w:val="Абзац списка1"/>
    <w:basedOn w:val="a"/>
    <w:rsid w:val="00505989"/>
    <w:pPr>
      <w:ind w:left="720"/>
      <w:contextualSpacing/>
    </w:pPr>
  </w:style>
  <w:style w:type="character" w:customStyle="1" w:styleId="11">
    <w:name w:val="Основной текст Знак1"/>
    <w:link w:val="a5"/>
    <w:semiHidden/>
    <w:locked/>
    <w:rsid w:val="0050598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20813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C20813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C20813"/>
    <w:pPr>
      <w:ind w:left="720"/>
      <w:contextualSpacing/>
    </w:pPr>
    <w:rPr>
      <w:rFonts w:eastAsia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4BCB-C50F-4C9D-88AD-6049294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10</cp:revision>
  <cp:lastPrinted>2020-04-16T11:14:00Z</cp:lastPrinted>
  <dcterms:created xsi:type="dcterms:W3CDTF">2020-04-07T04:34:00Z</dcterms:created>
  <dcterms:modified xsi:type="dcterms:W3CDTF">2020-04-28T08:33:00Z</dcterms:modified>
</cp:coreProperties>
</file>